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19E3481"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110AE7">
        <w:t xml:space="preserve">     ENG3</w:t>
      </w:r>
      <w:r>
        <w:t>-</w:t>
      </w:r>
      <w:r w:rsidR="00AE7F62">
        <w:t>10.18</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24B53F6"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006B394E">
        <w:rPr>
          <w:rFonts w:cs="Arial"/>
          <w:b/>
          <w:sz w:val="24"/>
          <w:szCs w:val="24"/>
        </w:rPr>
        <w:sym w:font="Wingdings" w:char="F0FE"/>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26B6069A" w:rsidR="0080294B" w:rsidRPr="0080294B" w:rsidRDefault="0080294B" w:rsidP="00037DF4">
      <w:pPr>
        <w:pStyle w:val="BodyText"/>
        <w:tabs>
          <w:tab w:val="left" w:pos="1843"/>
        </w:tabs>
      </w:pPr>
      <w:r w:rsidRPr="0080294B">
        <w:rPr>
          <w:rFonts w:cs="Arial"/>
          <w:b/>
          <w:sz w:val="24"/>
          <w:szCs w:val="24"/>
        </w:rPr>
        <w:t>□</w:t>
      </w:r>
      <w:r w:rsidRPr="0080294B">
        <w:rPr>
          <w:rFonts w:cs="Arial"/>
          <w:sz w:val="24"/>
          <w:szCs w:val="24"/>
        </w:rPr>
        <w:t xml:space="preserve">  </w:t>
      </w:r>
      <w:r w:rsidRPr="003D2DC1">
        <w:rPr>
          <w:rFonts w:cs="Arial"/>
        </w:rPr>
        <w:t>ENAV</w:t>
      </w:r>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6B394E">
        <w:rPr>
          <w:rFonts w:cs="Arial"/>
          <w:b/>
          <w:sz w:val="24"/>
          <w:szCs w:val="24"/>
        </w:rPr>
        <w:sym w:font="Wingdings" w:char="F0FE"/>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7D04B581"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AE7F62">
        <w:t>10</w:t>
      </w:r>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01FC5420" w14:textId="55DE6061"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0294B" w:rsidRPr="0080294B">
        <w:t>……</w:t>
      </w:r>
      <w:r w:rsidR="006B394E">
        <w:t>Peter Dobson</w:t>
      </w:r>
      <w:r w:rsidR="0080294B" w:rsidRPr="0080294B">
        <w:t>……………</w:t>
      </w:r>
    </w:p>
    <w:p w14:paraId="60BCC120" w14:textId="77777777" w:rsidR="0080294B" w:rsidRDefault="0080294B" w:rsidP="00FE5674">
      <w:pPr>
        <w:pStyle w:val="BodyText"/>
        <w:tabs>
          <w:tab w:val="left" w:pos="2835"/>
        </w:tabs>
      </w:pPr>
    </w:p>
    <w:p w14:paraId="4834080C" w14:textId="71590978" w:rsidR="00A446C9" w:rsidRDefault="00DD48E2" w:rsidP="00A446C9">
      <w:pPr>
        <w:pStyle w:val="Title"/>
      </w:pPr>
      <w:r>
        <w:t>Draft example of a battery sizing calculator</w:t>
      </w:r>
    </w:p>
    <w:p w14:paraId="0F258596" w14:textId="50FB6E37" w:rsidR="00A446C9" w:rsidRDefault="00A446C9" w:rsidP="00A446C9">
      <w:pPr>
        <w:pStyle w:val="Heading1"/>
      </w:pPr>
      <w:r>
        <w:t>Summary</w:t>
      </w:r>
    </w:p>
    <w:p w14:paraId="22C5DC37" w14:textId="25C519F2" w:rsidR="00CA7517" w:rsidRPr="00CA7517" w:rsidRDefault="005B3ABA" w:rsidP="00B56BDF">
      <w:pPr>
        <w:pStyle w:val="BodyText"/>
      </w:pPr>
      <w:r w:rsidRPr="00CA7517">
        <w:t xml:space="preserve">This paper </w:t>
      </w:r>
      <w:r w:rsidR="00CA7517">
        <w:t>includes a battery sizing calculator, that needs to be reviewed, modified, enhanced and considered where useful as an engineering tool for IALA members</w:t>
      </w:r>
    </w:p>
    <w:p w14:paraId="3C575A26" w14:textId="77777777" w:rsidR="001C44A3" w:rsidRDefault="00BD4E6F" w:rsidP="00B56BDF">
      <w:pPr>
        <w:pStyle w:val="Heading2"/>
      </w:pPr>
      <w:r>
        <w:t>Purpose</w:t>
      </w:r>
      <w:r w:rsidR="004D1D85">
        <w:t xml:space="preserve"> of the document</w:t>
      </w:r>
    </w:p>
    <w:p w14:paraId="2EA8F13A" w14:textId="1B5FF81D" w:rsidR="006B394E" w:rsidRDefault="006B394E" w:rsidP="006B394E">
      <w:pPr>
        <w:pStyle w:val="BodyText"/>
      </w:pPr>
      <w:r>
        <w:t>Forward to WG2 for</w:t>
      </w:r>
      <w:r w:rsidR="00DE23D9">
        <w:t xml:space="preserve"> further work to be done and consideration as an IALA engineering tool.</w:t>
      </w:r>
    </w:p>
    <w:p w14:paraId="36D645BE" w14:textId="77777777" w:rsidR="00B56BDF" w:rsidRDefault="00B56BDF" w:rsidP="00B56BDF">
      <w:pPr>
        <w:pStyle w:val="Heading2"/>
      </w:pPr>
      <w:r>
        <w:t>Related documents</w:t>
      </w:r>
    </w:p>
    <w:p w14:paraId="2CC36025" w14:textId="62AA023D" w:rsidR="006B394E" w:rsidRDefault="006B394E" w:rsidP="006B394E">
      <w:pPr>
        <w:pStyle w:val="BodyText"/>
      </w:pPr>
      <w:r>
        <w:t xml:space="preserve">ENG2 Working Paper </w:t>
      </w:r>
      <w:r w:rsidR="00DE23D9">
        <w:t>11.2.4</w:t>
      </w:r>
    </w:p>
    <w:p w14:paraId="53733F03" w14:textId="77777777" w:rsidR="00A446C9" w:rsidRDefault="00A446C9" w:rsidP="00A446C9">
      <w:pPr>
        <w:pStyle w:val="Heading1"/>
      </w:pPr>
      <w:r>
        <w:t>Background</w:t>
      </w:r>
    </w:p>
    <w:p w14:paraId="31C4EA14" w14:textId="6D6AE95A" w:rsidR="00501D0A" w:rsidRDefault="00B921F2" w:rsidP="006434E2">
      <w:pPr>
        <w:pStyle w:val="BodyText"/>
      </w:pPr>
      <w:r>
        <w:t>As part of the task register item 5.1.2 – review of IALA documents, the sub group dealing with a review of power systems start</w:t>
      </w:r>
      <w:r w:rsidR="00501D0A">
        <w:t>ed</w:t>
      </w:r>
      <w:r w:rsidR="006434E2">
        <w:t xml:space="preserve"> a review of the documentation and determining a plan of what need to be updated, merged or discontinued. As part of this, consideration was given to how the IALA solar sizing program could be updated and identification of any additional tools that would be useful.</w:t>
      </w:r>
    </w:p>
    <w:p w14:paraId="45ACC7AF" w14:textId="77777777" w:rsidR="00F11E43" w:rsidRDefault="00F11E43">
      <w:pPr>
        <w:rPr>
          <w:b/>
          <w:caps/>
          <w:kern w:val="28"/>
          <w:sz w:val="24"/>
          <w:lang w:eastAsia="de-DE"/>
        </w:rPr>
      </w:pPr>
      <w:r>
        <w:br w:type="page"/>
      </w:r>
    </w:p>
    <w:p w14:paraId="041E9135" w14:textId="22B7A234" w:rsidR="00A446C9" w:rsidRDefault="006434E2" w:rsidP="00F11E43">
      <w:pPr>
        <w:pStyle w:val="Heading1"/>
      </w:pPr>
      <w:r>
        <w:lastRenderedPageBreak/>
        <w:t>Discution</w:t>
      </w:r>
    </w:p>
    <w:p w14:paraId="53EF91E6" w14:textId="7EF307F6" w:rsidR="006434E2" w:rsidRDefault="006434E2" w:rsidP="00F11E43">
      <w:pPr>
        <w:pStyle w:val="BodyText"/>
      </w:pPr>
      <w:r>
        <w:t xml:space="preserve">The information provided by battery manufacturers can be confusing to understand and unclear when trying to determine performance at different load or </w:t>
      </w:r>
      <w:r w:rsidR="00E70EEC">
        <w:t>temperatures</w:t>
      </w:r>
      <w:r>
        <w:t>.</w:t>
      </w:r>
      <w:r w:rsidR="00E70EEC">
        <w:t xml:space="preserve"> To aid in achieving such calculations, a calculator has been produced (see </w:t>
      </w:r>
      <w:r w:rsidR="00E70EEC">
        <w:fldChar w:fldCharType="begin"/>
      </w:r>
      <w:r w:rsidR="00E70EEC">
        <w:instrText xml:space="preserve"> REF _Ref432947393 \n \h </w:instrText>
      </w:r>
      <w:r w:rsidR="00E70EEC">
        <w:fldChar w:fldCharType="separate"/>
      </w:r>
      <w:r w:rsidR="00E70EEC">
        <w:t>Table 1</w:t>
      </w:r>
      <w:r w:rsidR="00E70EEC">
        <w:fldChar w:fldCharType="end"/>
      </w:r>
      <w:r w:rsidR="00E70EEC">
        <w:t>) for review, modification and adaption before consideration as a suitable tool that IALA could offer its members.</w:t>
      </w:r>
    </w:p>
    <w:p w14:paraId="4A150935" w14:textId="6A752F2A" w:rsidR="00E70EEC" w:rsidRDefault="00E70EEC" w:rsidP="00E70EEC">
      <w:pPr>
        <w:pStyle w:val="Heading1"/>
      </w:pPr>
      <w:r>
        <w:t>Further actions</w:t>
      </w:r>
    </w:p>
    <w:p w14:paraId="7770D305" w14:textId="1C3364A6" w:rsidR="00E70EEC" w:rsidRDefault="00E70EEC" w:rsidP="00F11E43">
      <w:pPr>
        <w:pStyle w:val="BodyText"/>
      </w:pPr>
      <w:r>
        <w:t>This tool is generally based around gel battery technology, but with additional research, it may be possible to adapt for other batt</w:t>
      </w:r>
      <w:r w:rsidR="00500453">
        <w:t>ery type</w:t>
      </w:r>
      <w:r>
        <w:t>. In addition, further work is required to adapt this calculator for varying loads such as night hours and the impact this has around the globe.</w:t>
      </w:r>
    </w:p>
    <w:tbl>
      <w:tblPr>
        <w:tblStyle w:val="TableGrid"/>
        <w:tblW w:w="0" w:type="auto"/>
        <w:jc w:val="center"/>
        <w:tblLook w:val="04A0" w:firstRow="1" w:lastRow="0" w:firstColumn="1" w:lastColumn="0" w:noHBand="0" w:noVBand="1"/>
      </w:tblPr>
      <w:tblGrid>
        <w:gridCol w:w="2830"/>
        <w:gridCol w:w="2127"/>
      </w:tblGrid>
      <w:tr w:rsidR="00E70EEC" w14:paraId="70FC1EEA" w14:textId="77777777" w:rsidTr="00E70EEC">
        <w:trPr>
          <w:jc w:val="center"/>
        </w:trPr>
        <w:tc>
          <w:tcPr>
            <w:tcW w:w="2830" w:type="dxa"/>
          </w:tcPr>
          <w:p w14:paraId="3D910463" w14:textId="221BCCF8" w:rsidR="00E70EEC" w:rsidRDefault="00E70EEC" w:rsidP="00F11E43">
            <w:pPr>
              <w:pStyle w:val="BodyText"/>
            </w:pPr>
            <w:r>
              <w:t>Battery sizing calculator</w:t>
            </w:r>
          </w:p>
        </w:tc>
        <w:bookmarkStart w:id="0" w:name="_GoBack"/>
        <w:bookmarkStart w:id="1" w:name="_MON_1506925107"/>
        <w:bookmarkEnd w:id="1"/>
        <w:tc>
          <w:tcPr>
            <w:tcW w:w="2127" w:type="dxa"/>
          </w:tcPr>
          <w:p w14:paraId="7F62163D" w14:textId="6C2B7A58" w:rsidR="00E70EEC" w:rsidRDefault="00AE7F62" w:rsidP="00500453">
            <w:pPr>
              <w:pStyle w:val="BodyText"/>
              <w:keepNext/>
              <w:jc w:val="center"/>
            </w:pPr>
            <w:r>
              <w:object w:dxaOrig="1245" w:dyaOrig="806" w14:anchorId="5A4C0F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9pt;height:40.15pt" o:ole="">
                  <v:imagedata r:id="rId9" o:title=""/>
                </v:shape>
                <o:OLEObject Type="Embed" ProgID="Excel.Sheet.12" ShapeID="_x0000_i1025" DrawAspect="Icon" ObjectID="_1506925152" r:id="rId10"/>
              </w:object>
            </w:r>
            <w:bookmarkEnd w:id="0"/>
          </w:p>
        </w:tc>
      </w:tr>
    </w:tbl>
    <w:p w14:paraId="23B5467E" w14:textId="369832F2" w:rsidR="00F25BF4" w:rsidRDefault="00E70EEC" w:rsidP="00E70EEC">
      <w:pPr>
        <w:pStyle w:val="Table"/>
      </w:pPr>
      <w:bookmarkStart w:id="2" w:name="_Ref432947393"/>
      <w:r>
        <w:t>Battery sizing calculator</w:t>
      </w:r>
      <w:bookmarkEnd w:id="2"/>
    </w:p>
    <w:sectPr w:rsidR="00F25BF4" w:rsidSect="0082480E">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E86A6" w14:textId="77777777" w:rsidR="00F0719A" w:rsidRDefault="00F0719A" w:rsidP="00362CD9">
      <w:r>
        <w:separator/>
      </w:r>
    </w:p>
  </w:endnote>
  <w:endnote w:type="continuationSeparator" w:id="0">
    <w:p w14:paraId="5C46BC48" w14:textId="77777777" w:rsidR="00F0719A" w:rsidRDefault="00F0719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2F87A412" w:rsidR="00362CD9" w:rsidRDefault="00362CD9">
    <w:pPr>
      <w:pStyle w:val="Footer"/>
    </w:pPr>
    <w:r>
      <w:tab/>
    </w:r>
    <w:r>
      <w:fldChar w:fldCharType="begin"/>
    </w:r>
    <w:r>
      <w:instrText xml:space="preserve"> PAGE   \* MERGEFORMAT </w:instrText>
    </w:r>
    <w:r>
      <w:fldChar w:fldCharType="separate"/>
    </w:r>
    <w:r w:rsidR="00AE7F6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B4AEC" w14:textId="77777777" w:rsidR="00F0719A" w:rsidRDefault="00F0719A" w:rsidP="00362CD9">
      <w:r>
        <w:separator/>
      </w:r>
    </w:p>
  </w:footnote>
  <w:footnote w:type="continuationSeparator" w:id="0">
    <w:p w14:paraId="7C844D7B" w14:textId="77777777" w:rsidR="00F0719A" w:rsidRDefault="00F0719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37DF4"/>
    <w:rsid w:val="0004700E"/>
    <w:rsid w:val="00070C13"/>
    <w:rsid w:val="00084F33"/>
    <w:rsid w:val="000A77A7"/>
    <w:rsid w:val="000B1707"/>
    <w:rsid w:val="000C1B3E"/>
    <w:rsid w:val="00110AE7"/>
    <w:rsid w:val="0015181F"/>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A1DE6"/>
    <w:rsid w:val="003A645D"/>
    <w:rsid w:val="003B28F5"/>
    <w:rsid w:val="003B7B7D"/>
    <w:rsid w:val="003C54CB"/>
    <w:rsid w:val="003C7A2A"/>
    <w:rsid w:val="003D2DC1"/>
    <w:rsid w:val="003D69D0"/>
    <w:rsid w:val="003F2918"/>
    <w:rsid w:val="003F430E"/>
    <w:rsid w:val="0041088C"/>
    <w:rsid w:val="00420A38"/>
    <w:rsid w:val="00431B19"/>
    <w:rsid w:val="004661AD"/>
    <w:rsid w:val="004C7B7B"/>
    <w:rsid w:val="004D1D85"/>
    <w:rsid w:val="004D3C3A"/>
    <w:rsid w:val="004E1CD1"/>
    <w:rsid w:val="00500453"/>
    <w:rsid w:val="00501D0A"/>
    <w:rsid w:val="005107EB"/>
    <w:rsid w:val="00521345"/>
    <w:rsid w:val="00526DF0"/>
    <w:rsid w:val="00545CC4"/>
    <w:rsid w:val="00551FFF"/>
    <w:rsid w:val="005607A2"/>
    <w:rsid w:val="0057198B"/>
    <w:rsid w:val="00597FAE"/>
    <w:rsid w:val="005B32A3"/>
    <w:rsid w:val="005B3ABA"/>
    <w:rsid w:val="005C0D44"/>
    <w:rsid w:val="005C566C"/>
    <w:rsid w:val="005C7E69"/>
    <w:rsid w:val="005E262D"/>
    <w:rsid w:val="005F23D3"/>
    <w:rsid w:val="005F7E20"/>
    <w:rsid w:val="00605F3B"/>
    <w:rsid w:val="006153BB"/>
    <w:rsid w:val="006434E2"/>
    <w:rsid w:val="006652C3"/>
    <w:rsid w:val="00691FD0"/>
    <w:rsid w:val="00692148"/>
    <w:rsid w:val="006B394E"/>
    <w:rsid w:val="006C5948"/>
    <w:rsid w:val="006F2A74"/>
    <w:rsid w:val="007118F5"/>
    <w:rsid w:val="00712AA4"/>
    <w:rsid w:val="007146C4"/>
    <w:rsid w:val="00721AA1"/>
    <w:rsid w:val="00724B67"/>
    <w:rsid w:val="007351F5"/>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65FF6"/>
    <w:rsid w:val="009831C0"/>
    <w:rsid w:val="00A0389B"/>
    <w:rsid w:val="00A446C9"/>
    <w:rsid w:val="00A635D6"/>
    <w:rsid w:val="00A8553A"/>
    <w:rsid w:val="00A93AED"/>
    <w:rsid w:val="00A97274"/>
    <w:rsid w:val="00AC58C1"/>
    <w:rsid w:val="00AE1319"/>
    <w:rsid w:val="00AE34BB"/>
    <w:rsid w:val="00AE7F62"/>
    <w:rsid w:val="00B226F2"/>
    <w:rsid w:val="00B274DF"/>
    <w:rsid w:val="00B462AA"/>
    <w:rsid w:val="00B56BDF"/>
    <w:rsid w:val="00B65812"/>
    <w:rsid w:val="00B85CD6"/>
    <w:rsid w:val="00B90A27"/>
    <w:rsid w:val="00B921F2"/>
    <w:rsid w:val="00B9554D"/>
    <w:rsid w:val="00BB2B9F"/>
    <w:rsid w:val="00BB7D9E"/>
    <w:rsid w:val="00BD3CB8"/>
    <w:rsid w:val="00BD4E6F"/>
    <w:rsid w:val="00BF32F0"/>
    <w:rsid w:val="00BF4DCE"/>
    <w:rsid w:val="00C05CE5"/>
    <w:rsid w:val="00C6171E"/>
    <w:rsid w:val="00CA6F2C"/>
    <w:rsid w:val="00CA7517"/>
    <w:rsid w:val="00CF1871"/>
    <w:rsid w:val="00D1133E"/>
    <w:rsid w:val="00D17A34"/>
    <w:rsid w:val="00D26628"/>
    <w:rsid w:val="00D332B3"/>
    <w:rsid w:val="00D55207"/>
    <w:rsid w:val="00D92B45"/>
    <w:rsid w:val="00D95962"/>
    <w:rsid w:val="00DC389B"/>
    <w:rsid w:val="00DD48E2"/>
    <w:rsid w:val="00DE23D9"/>
    <w:rsid w:val="00DE2FEE"/>
    <w:rsid w:val="00E00BE9"/>
    <w:rsid w:val="00E22A11"/>
    <w:rsid w:val="00E2772D"/>
    <w:rsid w:val="00E31E5C"/>
    <w:rsid w:val="00E558C3"/>
    <w:rsid w:val="00E55927"/>
    <w:rsid w:val="00E70EEC"/>
    <w:rsid w:val="00E912A6"/>
    <w:rsid w:val="00EA4844"/>
    <w:rsid w:val="00EA4D9C"/>
    <w:rsid w:val="00EA5A97"/>
    <w:rsid w:val="00EB75EE"/>
    <w:rsid w:val="00EE4C1D"/>
    <w:rsid w:val="00EF3685"/>
    <w:rsid w:val="00F0719A"/>
    <w:rsid w:val="00F11E43"/>
    <w:rsid w:val="00F159EB"/>
    <w:rsid w:val="00F25BF4"/>
    <w:rsid w:val="00F267DB"/>
    <w:rsid w:val="00F46F6F"/>
    <w:rsid w:val="00F60608"/>
    <w:rsid w:val="00F62217"/>
    <w:rsid w:val="00F80AF1"/>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F11E43"/>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19BFC-9AB7-4410-8BCE-B72A71C51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6</cp:revision>
  <dcterms:created xsi:type="dcterms:W3CDTF">2015-10-18T14:21:00Z</dcterms:created>
  <dcterms:modified xsi:type="dcterms:W3CDTF">2015-10-21T08:30:00Z</dcterms:modified>
</cp:coreProperties>
</file>